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2D3717" w:rsidRDefault="00F92268" w:rsidP="00850792">
      <w:pPr>
        <w:pStyle w:val="BodyText"/>
        <w:rPr>
          <w:sz w:val="6"/>
          <w:szCs w:val="6"/>
        </w:rPr>
      </w:pPr>
      <w:r w:rsidRPr="002D3717">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2D3717"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2D3717" w:rsidRDefault="00F92268" w:rsidP="00F246C7">
            <w:pPr>
              <w:pStyle w:val="RefTableData"/>
            </w:pPr>
            <w:r w:rsidRPr="002D3717">
              <w:t>Reference number(s)</w:t>
            </w:r>
          </w:p>
        </w:tc>
      </w:tr>
      <w:tr w:rsidR="00F92268" w:rsidRPr="002D3717"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69E9980" w:rsidR="00F92268" w:rsidRPr="002D3717" w:rsidRDefault="00134A19" w:rsidP="00F246C7">
            <w:pPr>
              <w:pStyle w:val="RefTableHeader"/>
            </w:pPr>
            <w:r w:rsidRPr="00134A19">
              <w:t>6422-A</w:t>
            </w:r>
          </w:p>
        </w:tc>
      </w:tr>
    </w:tbl>
    <w:p w14:paraId="74FBA5B4" w14:textId="77777777" w:rsidR="00051356" w:rsidRPr="002D3717" w:rsidRDefault="00051356" w:rsidP="00A672B3">
      <w:pPr>
        <w:pStyle w:val="BodyText"/>
        <w:rPr>
          <w:b/>
          <w:bCs/>
          <w:sz w:val="16"/>
          <w:szCs w:val="16"/>
        </w:rPr>
        <w:sectPr w:rsidR="00051356" w:rsidRPr="002D3717"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1030593" w:rsidR="004B15BB" w:rsidRPr="002D3717" w:rsidRDefault="008B5400" w:rsidP="007E5C16">
      <w:pPr>
        <w:pStyle w:val="Heading1"/>
      </w:pPr>
      <w:r w:rsidRPr="002D3717">
        <w:t>Specialty Guideline Management</w:t>
      </w:r>
      <w:r w:rsidR="008C54D9" w:rsidRPr="002D3717">
        <w:br/>
      </w:r>
      <w:r w:rsidRPr="002D3717">
        <w:t>Tevimbra</w:t>
      </w:r>
    </w:p>
    <w:p w14:paraId="78861C92" w14:textId="0CE43D2E" w:rsidR="00203468" w:rsidRPr="002D3717" w:rsidRDefault="00C64534" w:rsidP="008E0F0D">
      <w:pPr>
        <w:pStyle w:val="Heading2"/>
      </w:pPr>
      <w:r w:rsidRPr="002D3717">
        <w:t xml:space="preserve">Products Referenced by this </w:t>
      </w:r>
      <w:r w:rsidR="00501602" w:rsidRPr="002D3717">
        <w:t>Document</w:t>
      </w:r>
    </w:p>
    <w:p w14:paraId="5455152B" w14:textId="72B05565" w:rsidR="008E0F0D" w:rsidRPr="002D3717" w:rsidRDefault="00D82D85" w:rsidP="008B73E8">
      <w:pPr>
        <w:pStyle w:val="BodyText"/>
      </w:pPr>
      <w:r w:rsidRPr="002D3717">
        <w:t xml:space="preserve">Drugs that are listed in the </w:t>
      </w:r>
      <w:r w:rsidR="000315F1" w:rsidRPr="002D3717">
        <w:t>following table</w:t>
      </w:r>
      <w:r w:rsidRPr="002D3717">
        <w:t xml:space="preserve"> include both brand and generic and all dosage forms and strengths unless otherwise stated. </w:t>
      </w:r>
      <w:r w:rsidR="00CB29B2" w:rsidRPr="002D3717">
        <w:t>Over</w:t>
      </w:r>
      <w:r w:rsidR="009D6A78">
        <w:t>-</w:t>
      </w:r>
      <w:r w:rsidR="00CB29B2" w:rsidRPr="002D3717">
        <w:t>the</w:t>
      </w:r>
      <w:r w:rsidR="009D6A78">
        <w:t>-</w:t>
      </w:r>
      <w:r w:rsidR="00CB29B2" w:rsidRPr="002D3717">
        <w:t>counter (OTC)</w:t>
      </w:r>
      <w:r w:rsidRPr="002D3717">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2D3717" w14:paraId="057AAA89" w14:textId="77777777">
        <w:trPr>
          <w:cantSplit/>
          <w:trHeight w:val="288"/>
          <w:tblHeader/>
        </w:trPr>
        <w:tc>
          <w:tcPr>
            <w:tcW w:w="5265" w:type="dxa"/>
            <w:vAlign w:val="center"/>
          </w:tcPr>
          <w:p w14:paraId="6CBFE1BD" w14:textId="77777777" w:rsidR="005B4D7C" w:rsidRPr="002D3717" w:rsidRDefault="005B4D7C">
            <w:pPr>
              <w:pStyle w:val="TableHeader"/>
            </w:pPr>
            <w:r w:rsidRPr="002D3717">
              <w:t>Brand Name</w:t>
            </w:r>
          </w:p>
        </w:tc>
        <w:tc>
          <w:tcPr>
            <w:tcW w:w="5595" w:type="dxa"/>
            <w:vAlign w:val="center"/>
          </w:tcPr>
          <w:p w14:paraId="18440B85" w14:textId="77777777" w:rsidR="005B4D7C" w:rsidRPr="002D3717" w:rsidRDefault="005B4D7C">
            <w:pPr>
              <w:pStyle w:val="TableHeader"/>
            </w:pPr>
            <w:r w:rsidRPr="002D3717">
              <w:t>Generic Name</w:t>
            </w:r>
          </w:p>
        </w:tc>
      </w:tr>
      <w:tr w:rsidR="005B4D7C" w:rsidRPr="002D3717" w14:paraId="7742B1EC" w14:textId="77777777">
        <w:trPr>
          <w:cantSplit/>
        </w:trPr>
        <w:tc>
          <w:tcPr>
            <w:tcW w:w="5265" w:type="dxa"/>
          </w:tcPr>
          <w:p w14:paraId="4DED0C9B" w14:textId="318AF6B0" w:rsidR="005B4D7C" w:rsidRPr="002D3717" w:rsidRDefault="004A3D86">
            <w:pPr>
              <w:pStyle w:val="TableDataUnpadded"/>
            </w:pPr>
            <w:r w:rsidRPr="002D3717">
              <w:t>Tevimbra</w:t>
            </w:r>
          </w:p>
        </w:tc>
        <w:tc>
          <w:tcPr>
            <w:tcW w:w="5595" w:type="dxa"/>
          </w:tcPr>
          <w:p w14:paraId="1A09710D" w14:textId="65B037DD" w:rsidR="005B4D7C" w:rsidRPr="002D3717" w:rsidRDefault="004A3D86">
            <w:pPr>
              <w:pStyle w:val="TableDataUnpadded"/>
            </w:pPr>
            <w:r w:rsidRPr="002D3717">
              <w:t>tislelizumab-jsgr</w:t>
            </w:r>
          </w:p>
        </w:tc>
      </w:tr>
    </w:tbl>
    <w:p w14:paraId="14CE6108" w14:textId="2B0BD891" w:rsidR="00FC1AAD" w:rsidRPr="002D3717" w:rsidRDefault="00ED052F" w:rsidP="00AA2A94">
      <w:pPr>
        <w:pStyle w:val="Heading2"/>
        <w:tabs>
          <w:tab w:val="left" w:pos="9540"/>
        </w:tabs>
      </w:pPr>
      <w:r w:rsidRPr="002D3717">
        <w:t>Indications</w:t>
      </w:r>
    </w:p>
    <w:p w14:paraId="70119C63" w14:textId="2EB3BDDE" w:rsidR="006E791F" w:rsidRPr="002D3717" w:rsidRDefault="006E791F" w:rsidP="006E791F">
      <w:pPr>
        <w:pStyle w:val="BodyText"/>
      </w:pPr>
      <w:r w:rsidRPr="002D3717">
        <w:t>The indications below including FDA-approved indications and compendial uses are considered a covered benefit provided that all the approval criteria are met and the member has no exclusions to the prescribed therapy.</w:t>
      </w:r>
    </w:p>
    <w:p w14:paraId="134B5687" w14:textId="007FF7C4" w:rsidR="00ED052F" w:rsidRPr="002D3717" w:rsidRDefault="00ED052F" w:rsidP="00ED052F">
      <w:pPr>
        <w:pStyle w:val="Heading3"/>
        <w:keepNext w:val="0"/>
      </w:pPr>
      <w:r w:rsidRPr="002D3717">
        <w:t>FDA-approved Indications</w:t>
      </w:r>
      <w:r w:rsidR="006E791F" w:rsidRPr="002D3717">
        <w:rPr>
          <w:vertAlign w:val="superscript"/>
        </w:rPr>
        <w:t>1</w:t>
      </w:r>
    </w:p>
    <w:p w14:paraId="0484D00D" w14:textId="23090CD8" w:rsidR="005E5EEE" w:rsidRDefault="005E5EEE" w:rsidP="005E5EEE">
      <w:pPr>
        <w:pStyle w:val="Heading4"/>
      </w:pPr>
      <w:r>
        <w:t>Esophageal Cancer</w:t>
      </w:r>
    </w:p>
    <w:p w14:paraId="4560EC2E" w14:textId="2E9937BB" w:rsidR="00224103" w:rsidRDefault="00224103" w:rsidP="00C20117">
      <w:pPr>
        <w:pStyle w:val="ListParagraph"/>
        <w:numPr>
          <w:ilvl w:val="0"/>
          <w:numId w:val="36"/>
        </w:numPr>
      </w:pPr>
      <w:r>
        <w:t>Tevimbra, in combination with platinum-containing chemotherapy, is indicated for the first-line treatment of adults with unresectable or metastatic esophageal squamous cell carcinoma (ESCC) whose tumors express PD-L1 (</w:t>
      </w:r>
      <w:r>
        <w:rPr>
          <w:rFonts w:ascii="Arial" w:hAnsi="Arial"/>
        </w:rPr>
        <w:t>≥</w:t>
      </w:r>
      <w:r>
        <w:t>1).</w:t>
      </w:r>
    </w:p>
    <w:p w14:paraId="41AB127A" w14:textId="5BA789DE" w:rsidR="005E5EEE" w:rsidRPr="005E5EEE" w:rsidRDefault="005E5EEE" w:rsidP="00C20117">
      <w:pPr>
        <w:pStyle w:val="ListParagraph"/>
        <w:numPr>
          <w:ilvl w:val="0"/>
          <w:numId w:val="36"/>
        </w:numPr>
      </w:pPr>
      <w:r w:rsidRPr="005E5EEE">
        <w:t>Tevimbra as a single agent, is indicated for the treatment of adults with unresectable or metastatic esophageal squamous cell carcinoma after prior systemic chemotherapy that did not include a PD-(L)1 inhibitor.</w:t>
      </w:r>
    </w:p>
    <w:p w14:paraId="183C6C95" w14:textId="47D72AA1" w:rsidR="005E5EEE" w:rsidRDefault="005E5EEE">
      <w:pPr>
        <w:pStyle w:val="Heading4"/>
      </w:pPr>
      <w:r>
        <w:t>Gastric Cancer</w:t>
      </w:r>
    </w:p>
    <w:p w14:paraId="0195B167" w14:textId="665F750F" w:rsidR="005E5EEE" w:rsidRPr="005E5EEE" w:rsidRDefault="005E5EEE" w:rsidP="00DD5B39">
      <w:r>
        <w:t xml:space="preserve">Tevimbra, in combination with platinum and </w:t>
      </w:r>
      <w:bookmarkStart w:id="0" w:name="_Hlk186702323"/>
      <w:r>
        <w:t>fluoropyrimidine-based chemotherapy, is indicated for the first-line treatment of adults with unresectable or metastatic HER2-negative gastric or gastroesophageal junction adenocarcinoma (G/GEJ) whose tumors express PD-L1 (</w:t>
      </w:r>
      <w:r>
        <w:rPr>
          <w:rFonts w:ascii="Arial" w:hAnsi="Arial" w:cs="Arial"/>
        </w:rPr>
        <w:t>≥</w:t>
      </w:r>
      <w:r>
        <w:t>1)</w:t>
      </w:r>
      <w:bookmarkEnd w:id="0"/>
      <w:r>
        <w:t>.</w:t>
      </w:r>
    </w:p>
    <w:p w14:paraId="6354B964" w14:textId="4850B973" w:rsidR="002D3717" w:rsidRPr="002D3717" w:rsidRDefault="002D3717" w:rsidP="002D3717">
      <w:pPr>
        <w:pStyle w:val="Heading3"/>
      </w:pPr>
      <w:r w:rsidRPr="002D3717">
        <w:lastRenderedPageBreak/>
        <w:t>Compendial Uses</w:t>
      </w:r>
      <w:r w:rsidRPr="002D3717">
        <w:rPr>
          <w:vertAlign w:val="superscript"/>
        </w:rPr>
        <w:t>2</w:t>
      </w:r>
    </w:p>
    <w:p w14:paraId="44592C8C" w14:textId="43C2A5AD" w:rsidR="002D3717" w:rsidRPr="002D3717" w:rsidRDefault="002D3717" w:rsidP="002D3717">
      <w:pPr>
        <w:pStyle w:val="ListParagraph"/>
        <w:numPr>
          <w:ilvl w:val="0"/>
          <w:numId w:val="34"/>
        </w:numPr>
      </w:pPr>
      <w:r w:rsidRPr="002D3717">
        <w:t xml:space="preserve">Esophageal </w:t>
      </w:r>
      <w:bookmarkStart w:id="1" w:name="_Hlk192262495"/>
      <w:r w:rsidR="00E30F1D">
        <w:t>cancer/esophagogastric junction cancer</w:t>
      </w:r>
    </w:p>
    <w:bookmarkEnd w:id="1"/>
    <w:p w14:paraId="2C0ED8B8" w14:textId="77777777" w:rsidR="002D3717" w:rsidRDefault="002D3717" w:rsidP="002D3717">
      <w:pPr>
        <w:pStyle w:val="ListParagraph"/>
        <w:numPr>
          <w:ilvl w:val="0"/>
          <w:numId w:val="34"/>
        </w:numPr>
      </w:pPr>
      <w:r w:rsidRPr="002D3717">
        <w:t>Hepatocellular carcinoma</w:t>
      </w:r>
    </w:p>
    <w:p w14:paraId="70D29973" w14:textId="55B2BB6C" w:rsidR="002E04AC" w:rsidRDefault="002E04AC" w:rsidP="002E04AC">
      <w:pPr>
        <w:pStyle w:val="ListParagraph"/>
        <w:numPr>
          <w:ilvl w:val="0"/>
          <w:numId w:val="34"/>
        </w:numPr>
      </w:pPr>
      <w:r w:rsidRPr="002E04AC">
        <w:t>Histologic (Richter) transformation to diffuse large B-cell lymphoma</w:t>
      </w:r>
    </w:p>
    <w:p w14:paraId="71367DEB" w14:textId="6FC4E38C" w:rsidR="00E30F1D" w:rsidRDefault="00E30F1D" w:rsidP="002E04AC">
      <w:pPr>
        <w:pStyle w:val="ListParagraph"/>
        <w:numPr>
          <w:ilvl w:val="0"/>
          <w:numId w:val="34"/>
        </w:numPr>
      </w:pPr>
      <w:r>
        <w:t>Gastric cancer</w:t>
      </w:r>
    </w:p>
    <w:p w14:paraId="5C8A3D15" w14:textId="54D6BC0B" w:rsidR="00AA7E31" w:rsidRDefault="00AA7E31" w:rsidP="002E04AC">
      <w:pPr>
        <w:pStyle w:val="ListParagraph"/>
        <w:numPr>
          <w:ilvl w:val="0"/>
          <w:numId w:val="34"/>
        </w:numPr>
      </w:pPr>
      <w:r>
        <w:t>Small bowel adenocarcinoma</w:t>
      </w:r>
    </w:p>
    <w:p w14:paraId="6B623B27" w14:textId="638E3D50" w:rsidR="00AA7E31" w:rsidRDefault="00AA7E31" w:rsidP="002E04AC">
      <w:pPr>
        <w:pStyle w:val="ListParagraph"/>
        <w:numPr>
          <w:ilvl w:val="0"/>
          <w:numId w:val="34"/>
        </w:numPr>
      </w:pPr>
      <w:r>
        <w:t>Anal carcinoma</w:t>
      </w:r>
    </w:p>
    <w:p w14:paraId="52F6AE2A" w14:textId="36899D08" w:rsidR="00AA7E31" w:rsidRDefault="00AA7E31" w:rsidP="002E04AC">
      <w:pPr>
        <w:pStyle w:val="ListParagraph"/>
        <w:numPr>
          <w:ilvl w:val="0"/>
          <w:numId w:val="34"/>
        </w:numPr>
      </w:pPr>
      <w:r>
        <w:t>Head and neck cancer</w:t>
      </w:r>
    </w:p>
    <w:p w14:paraId="6321E282" w14:textId="2A9866DB" w:rsidR="00E30F1D" w:rsidRDefault="00E30F1D" w:rsidP="002E04AC">
      <w:pPr>
        <w:pStyle w:val="ListParagraph"/>
        <w:numPr>
          <w:ilvl w:val="0"/>
          <w:numId w:val="34"/>
        </w:numPr>
      </w:pPr>
      <w:r>
        <w:t>Colon cancer</w:t>
      </w:r>
    </w:p>
    <w:p w14:paraId="0A1E2E44" w14:textId="72A6C01A" w:rsidR="00E30F1D" w:rsidRDefault="00E30F1D" w:rsidP="002E04AC">
      <w:pPr>
        <w:pStyle w:val="ListParagraph"/>
        <w:numPr>
          <w:ilvl w:val="0"/>
          <w:numId w:val="34"/>
        </w:numPr>
      </w:pPr>
      <w:r>
        <w:t>Appendiceal cancer</w:t>
      </w:r>
    </w:p>
    <w:p w14:paraId="48CE76D7" w14:textId="5876E0E8" w:rsidR="00E30F1D" w:rsidRPr="002D3717" w:rsidRDefault="00E30F1D" w:rsidP="002E04AC">
      <w:pPr>
        <w:pStyle w:val="ListParagraph"/>
        <w:numPr>
          <w:ilvl w:val="0"/>
          <w:numId w:val="34"/>
        </w:numPr>
      </w:pPr>
      <w:r>
        <w:t>Rectal cancer</w:t>
      </w:r>
    </w:p>
    <w:p w14:paraId="2985D2B8" w14:textId="77777777" w:rsidR="002D3717" w:rsidRPr="002D3717" w:rsidRDefault="002D3717" w:rsidP="002D3717">
      <w:pPr>
        <w:pStyle w:val="BodyText"/>
      </w:pPr>
      <w:r w:rsidRPr="002D3717">
        <w:t>All other indications are considered experimental/investigational and not medically necessary.</w:t>
      </w:r>
    </w:p>
    <w:p w14:paraId="3B53FC2D" w14:textId="77777777" w:rsidR="00D115C5" w:rsidRPr="00C76758" w:rsidRDefault="00D115C5" w:rsidP="00D115C5">
      <w:pPr>
        <w:pStyle w:val="Heading2"/>
      </w:pPr>
      <w:r w:rsidRPr="00C76758">
        <w:t>Documentation</w:t>
      </w:r>
    </w:p>
    <w:p w14:paraId="1FFE246A" w14:textId="77777777" w:rsidR="00D115C5" w:rsidRDefault="00D115C5" w:rsidP="00D115C5">
      <w:pPr>
        <w:pStyle w:val="BodyText"/>
      </w:pPr>
      <w:r w:rsidRPr="00BD1CC1">
        <w:t>Submission of the following information is necessary to initiate the prior authorization review:</w:t>
      </w:r>
    </w:p>
    <w:p w14:paraId="73C7B6B8" w14:textId="77777777" w:rsidR="00D115C5" w:rsidRDefault="00D115C5" w:rsidP="00D115C5">
      <w:pPr>
        <w:pStyle w:val="ListParagraph"/>
      </w:pPr>
      <w:r>
        <w:t>Documentation of programmed death ligand 1 (PD-L1) tumor expression, where applicable.</w:t>
      </w:r>
    </w:p>
    <w:p w14:paraId="1FA89F06" w14:textId="0AEB08E1" w:rsidR="00D115C5" w:rsidRDefault="00D115C5">
      <w:pPr>
        <w:pStyle w:val="ListParagraph"/>
      </w:pPr>
      <w:r>
        <w:t>Documentation of laboratory report confirming MSI-H, mismatch repair deficient (dMMR) or polymerase epsilon/delta (POLE/POLD1) tumor status, where applicable.</w:t>
      </w:r>
    </w:p>
    <w:p w14:paraId="0FB41E8D" w14:textId="0C2FE868" w:rsidR="00DD1CA9" w:rsidRDefault="00DD1CA9" w:rsidP="00DD5B39">
      <w:pPr>
        <w:pStyle w:val="ListParagraph"/>
      </w:pPr>
      <w:r>
        <w:t>Documentation of human epiderma</w:t>
      </w:r>
      <w:r w:rsidR="00C174D0">
        <w:t>l</w:t>
      </w:r>
      <w:r>
        <w:t xml:space="preserve"> growth factor receptor 2 (HER2) status, where applicable.</w:t>
      </w:r>
    </w:p>
    <w:p w14:paraId="0B7EBA52" w14:textId="5BE740CD" w:rsidR="002D3717" w:rsidRPr="002D3717" w:rsidRDefault="002D3717" w:rsidP="00134A19">
      <w:pPr>
        <w:pStyle w:val="Heading2"/>
        <w:tabs>
          <w:tab w:val="clear" w:pos="2880"/>
          <w:tab w:val="left" w:pos="9528"/>
        </w:tabs>
      </w:pPr>
      <w:r w:rsidRPr="002D3717">
        <w:t>Exclusions</w:t>
      </w:r>
    </w:p>
    <w:p w14:paraId="17BE95B6" w14:textId="77777777" w:rsidR="002D3717" w:rsidRPr="00E109C9" w:rsidRDefault="002D3717" w:rsidP="00E109C9">
      <w:pPr>
        <w:pStyle w:val="BodyText"/>
      </w:pPr>
      <w:r w:rsidRPr="00E109C9">
        <w:t>Coverage will not be provided for members who have experienced disease progression while on PD-1 or PD-L1 inhibitor therapy.</w:t>
      </w:r>
    </w:p>
    <w:p w14:paraId="6D9BCFDC" w14:textId="51ADDD7A" w:rsidR="002D3717" w:rsidRPr="00AB7E33" w:rsidRDefault="00E109C9" w:rsidP="00AB7E33">
      <w:pPr>
        <w:pStyle w:val="Heading2"/>
      </w:pPr>
      <w:r w:rsidRPr="00AB7E33">
        <w:t>Coverage Criteria</w:t>
      </w:r>
    </w:p>
    <w:p w14:paraId="5313FB19" w14:textId="3A271543" w:rsidR="002D3717" w:rsidRPr="00BE1B01" w:rsidRDefault="002D3717" w:rsidP="00AB7E33">
      <w:pPr>
        <w:pStyle w:val="Heading3"/>
        <w:spacing w:before="60"/>
      </w:pPr>
      <w:bookmarkStart w:id="2" w:name="OLE_LINK39"/>
      <w:r w:rsidRPr="00BE1B01">
        <w:t xml:space="preserve">Esophageal </w:t>
      </w:r>
      <w:r w:rsidR="00BE1B01" w:rsidRPr="00BE1B01">
        <w:t>Ca</w:t>
      </w:r>
      <w:r w:rsidR="002E0903">
        <w:t>ncer</w:t>
      </w:r>
      <w:r w:rsidRPr="00BE1B01">
        <w:rPr>
          <w:vertAlign w:val="superscript"/>
        </w:rPr>
        <w:t>1,2</w:t>
      </w:r>
    </w:p>
    <w:p w14:paraId="4094C0A7" w14:textId="3866BC8F" w:rsidR="002D3717" w:rsidRPr="00AB44C8" w:rsidRDefault="002D3717" w:rsidP="00BE1B01">
      <w:pPr>
        <w:pStyle w:val="BodyText"/>
      </w:pPr>
      <w:r w:rsidRPr="00BE1B01">
        <w:t xml:space="preserve">Authorization of 6 months may be granted for the treatment of esophageal </w:t>
      </w:r>
      <w:r w:rsidR="006561B2">
        <w:t xml:space="preserve">and esophagogastric junction </w:t>
      </w:r>
      <w:r w:rsidR="006561B2" w:rsidRPr="00AB44C8">
        <w:t>cancer</w:t>
      </w:r>
      <w:r w:rsidRPr="00AB44C8">
        <w:t xml:space="preserve"> in members who are not surgical candidates or have unresectable, recurrent, or metastatic disease when the </w:t>
      </w:r>
      <w:r w:rsidR="00B514E3" w:rsidRPr="00AB44C8">
        <w:t xml:space="preserve">requested </w:t>
      </w:r>
      <w:r w:rsidR="00B97F52" w:rsidRPr="00AB44C8">
        <w:t>medication</w:t>
      </w:r>
      <w:r w:rsidR="00B514E3" w:rsidRPr="00AB44C8">
        <w:t xml:space="preserve"> will be used </w:t>
      </w:r>
      <w:r w:rsidR="00B97F52" w:rsidRPr="00AB44C8">
        <w:t>for</w:t>
      </w:r>
      <w:r w:rsidR="00B514E3" w:rsidRPr="00AB44C8">
        <w:t xml:space="preserve"> </w:t>
      </w:r>
      <w:r w:rsidR="00AB44C8">
        <w:t>any</w:t>
      </w:r>
      <w:r w:rsidR="00B514E3" w:rsidRPr="00AB44C8">
        <w:t xml:space="preserve"> of the following</w:t>
      </w:r>
      <w:r w:rsidRPr="00AB44C8">
        <w:t>:</w:t>
      </w:r>
    </w:p>
    <w:p w14:paraId="364A4165" w14:textId="34A7ACC9" w:rsidR="006561B2" w:rsidRPr="00AB44C8" w:rsidRDefault="00B97F52" w:rsidP="00A91246">
      <w:pPr>
        <w:pStyle w:val="ListParagraph"/>
        <w:numPr>
          <w:ilvl w:val="0"/>
          <w:numId w:val="35"/>
        </w:numPr>
      </w:pPr>
      <w:r w:rsidRPr="00AB44C8">
        <w:t xml:space="preserve">First-line therapy for members with PD-L1 </w:t>
      </w:r>
      <w:r w:rsidRPr="00AB44C8">
        <w:rPr>
          <w:rFonts w:ascii="Arial" w:hAnsi="Arial"/>
        </w:rPr>
        <w:t>≥</w:t>
      </w:r>
      <w:r w:rsidRPr="00AB44C8">
        <w:t>1 and squamous cell carcinoma or HER2-negative adenocarci</w:t>
      </w:r>
      <w:r w:rsidR="00F46114">
        <w:t>no</w:t>
      </w:r>
      <w:r w:rsidRPr="00AB44C8">
        <w:t>ma i</w:t>
      </w:r>
      <w:r w:rsidR="006561B2" w:rsidRPr="00AB44C8">
        <w:t xml:space="preserve">n combination with </w:t>
      </w:r>
      <w:r w:rsidR="00B514E3" w:rsidRPr="00AB44C8">
        <w:t>platinum-containin</w:t>
      </w:r>
      <w:r w:rsidRPr="00AB44C8">
        <w:t>g</w:t>
      </w:r>
      <w:r w:rsidR="00B514E3" w:rsidRPr="00AB44C8">
        <w:t xml:space="preserve"> </w:t>
      </w:r>
      <w:r w:rsidR="006561B2" w:rsidRPr="00AB44C8">
        <w:t>chemotherapy</w:t>
      </w:r>
    </w:p>
    <w:p w14:paraId="7D5113C0" w14:textId="05EF6FAD" w:rsidR="006561B2" w:rsidRPr="00AB44C8" w:rsidRDefault="006561B2" w:rsidP="00A91246">
      <w:pPr>
        <w:pStyle w:val="ListParagraph"/>
        <w:numPr>
          <w:ilvl w:val="0"/>
          <w:numId w:val="35"/>
        </w:numPr>
      </w:pPr>
      <w:r w:rsidRPr="00AB44C8">
        <w:t xml:space="preserve">Subsequent </w:t>
      </w:r>
      <w:r w:rsidR="00B97F52" w:rsidRPr="00AB44C8">
        <w:t xml:space="preserve">therapy for esophageal squamous cell carcinoma as a </w:t>
      </w:r>
      <w:r w:rsidRPr="00AB44C8">
        <w:t>single agent</w:t>
      </w:r>
    </w:p>
    <w:p w14:paraId="65C329AB" w14:textId="56B60A7D" w:rsidR="0041498B" w:rsidRPr="00A91246" w:rsidRDefault="00B97F52" w:rsidP="006816A2">
      <w:r>
        <w:t>Authorization of 6 months may be granted for i</w:t>
      </w:r>
      <w:r w:rsidR="0041498B">
        <w:t xml:space="preserve">nduction therapy for relieving dysphagia in combination with </w:t>
      </w:r>
      <w:r>
        <w:t xml:space="preserve">platinum-containing </w:t>
      </w:r>
      <w:r w:rsidR="0041498B">
        <w:t xml:space="preserve">chemotherapy for members </w:t>
      </w:r>
      <w:r w:rsidR="009309B2">
        <w:t xml:space="preserve">with PD-L1 </w:t>
      </w:r>
      <w:r w:rsidR="009309B2" w:rsidRPr="00AA7E31">
        <w:rPr>
          <w:rFonts w:ascii="Arial" w:hAnsi="Arial"/>
        </w:rPr>
        <w:t>≥</w:t>
      </w:r>
      <w:r w:rsidR="009309B2" w:rsidRPr="00AA7E31">
        <w:t>1</w:t>
      </w:r>
      <w:r w:rsidR="009309B2">
        <w:t xml:space="preserve"> </w:t>
      </w:r>
      <w:r w:rsidR="0041498B">
        <w:t>planned for esophagectomy.</w:t>
      </w:r>
    </w:p>
    <w:bookmarkEnd w:id="2"/>
    <w:p w14:paraId="46C9DF94" w14:textId="743F5F64" w:rsidR="002D3717" w:rsidRPr="00A91246" w:rsidRDefault="002D3717" w:rsidP="00A91246">
      <w:pPr>
        <w:pStyle w:val="Heading3"/>
      </w:pPr>
      <w:r w:rsidRPr="00A91246">
        <w:t xml:space="preserve">Hepatocellular </w:t>
      </w:r>
      <w:r w:rsidR="00A91246" w:rsidRPr="00A91246">
        <w:t>Carcinoma</w:t>
      </w:r>
      <w:r w:rsidRPr="00A91246">
        <w:rPr>
          <w:vertAlign w:val="superscript"/>
        </w:rPr>
        <w:t>2</w:t>
      </w:r>
    </w:p>
    <w:p w14:paraId="09EAB2EA" w14:textId="77777777" w:rsidR="00FD0F36" w:rsidRPr="006A2F27" w:rsidRDefault="002D3717" w:rsidP="00A91246">
      <w:pPr>
        <w:pStyle w:val="BodyText"/>
      </w:pPr>
      <w:r w:rsidRPr="006A2F27">
        <w:t>Authorization of 6 months may be granted as a single agent for the first line treatment of hepatocellular carcinoma when the member is deemed ineligible for resection, transplant, or locoregional therapy.</w:t>
      </w:r>
    </w:p>
    <w:p w14:paraId="37AA7EAD" w14:textId="1C338696" w:rsidR="00764080" w:rsidRPr="006A2F27" w:rsidRDefault="00764080">
      <w:pPr>
        <w:pStyle w:val="Heading3"/>
        <w:rPr>
          <w:vertAlign w:val="superscript"/>
        </w:rPr>
      </w:pPr>
      <w:r w:rsidRPr="006A2F27">
        <w:t>Histologic (Richter) transformation to diffuse large B-cell lymphoma</w:t>
      </w:r>
      <w:r w:rsidRPr="006A2F27">
        <w:rPr>
          <w:vertAlign w:val="superscript"/>
        </w:rPr>
        <w:t>2</w:t>
      </w:r>
    </w:p>
    <w:p w14:paraId="0B8463C3" w14:textId="6481C36C" w:rsidR="00764080" w:rsidRPr="006A2F27" w:rsidRDefault="00764080" w:rsidP="00AE49D3">
      <w:pPr>
        <w:pStyle w:val="BodyText"/>
      </w:pPr>
      <w:r w:rsidRPr="006A2F27">
        <w:t xml:space="preserve">Authorization of </w:t>
      </w:r>
      <w:r w:rsidR="00D47242" w:rsidRPr="006A2F27">
        <w:t>6</w:t>
      </w:r>
      <w:r w:rsidRPr="006A2F27">
        <w:t xml:space="preserve"> months may be granted for treatment of Histologic (Richter) transformation to diffuse large B-cell lymphoma in combination with zanubrutinib.</w:t>
      </w:r>
    </w:p>
    <w:p w14:paraId="16E50569" w14:textId="0DB94DBF" w:rsidR="00AA7E31" w:rsidRPr="006A2F27" w:rsidRDefault="00AA7E31">
      <w:pPr>
        <w:pStyle w:val="Heading3"/>
      </w:pPr>
      <w:r w:rsidRPr="006A2F27">
        <w:t>Gastric Cancer</w:t>
      </w:r>
      <w:r w:rsidRPr="006A2F27">
        <w:rPr>
          <w:vertAlign w:val="superscript"/>
        </w:rPr>
        <w:t>1</w:t>
      </w:r>
    </w:p>
    <w:p w14:paraId="442788CF" w14:textId="119EF2F2" w:rsidR="00AA7E31" w:rsidRPr="006A2F27" w:rsidRDefault="00AA7E31" w:rsidP="00DD5B39">
      <w:pPr>
        <w:pStyle w:val="BodyText"/>
      </w:pPr>
      <w:r w:rsidRPr="006A2F27">
        <w:t>Authorization of 6 months may be granted</w:t>
      </w:r>
      <w:r w:rsidR="00AB44C8" w:rsidRPr="006A2F27">
        <w:t xml:space="preserve"> for the treatment of</w:t>
      </w:r>
      <w:r w:rsidRPr="006A2F27">
        <w:t xml:space="preserve"> </w:t>
      </w:r>
      <w:r w:rsidR="00AB44C8" w:rsidRPr="006816A2">
        <w:t>HER2-negative</w:t>
      </w:r>
      <w:r w:rsidR="00AB44C8" w:rsidRPr="006A2F27">
        <w:t xml:space="preserve"> gastric adenocarcinoma</w:t>
      </w:r>
      <w:r w:rsidR="006A2F27" w:rsidRPr="006A2F27">
        <w:t xml:space="preserve"> in members who are not surgical candidates or have unresectable, recurrent, or metastatic disease</w:t>
      </w:r>
      <w:r w:rsidR="00AB44C8" w:rsidRPr="006A2F27">
        <w:t xml:space="preserve"> </w:t>
      </w:r>
      <w:r w:rsidRPr="006A2F27">
        <w:t xml:space="preserve">in combination with </w:t>
      </w:r>
      <w:r w:rsidR="00C861FF" w:rsidRPr="006A2F27">
        <w:t xml:space="preserve">platinum and </w:t>
      </w:r>
      <w:r w:rsidRPr="006A2F27">
        <w:t>fluoropyrimidine-based chemotherapy for first-line treatment of tumors express</w:t>
      </w:r>
      <w:r w:rsidR="006A2F27" w:rsidRPr="006A2F27">
        <w:t>ing</w:t>
      </w:r>
      <w:r w:rsidRPr="006A2F27">
        <w:t xml:space="preserve"> PD-L1 (</w:t>
      </w:r>
      <w:r w:rsidRPr="006A2F27">
        <w:rPr>
          <w:rFonts w:ascii="Arial" w:hAnsi="Arial"/>
        </w:rPr>
        <w:t>≥</w:t>
      </w:r>
      <w:r w:rsidRPr="006A2F27">
        <w:t>1).</w:t>
      </w:r>
    </w:p>
    <w:p w14:paraId="5B04BE5F" w14:textId="24817ECB" w:rsidR="00AA7E31" w:rsidRPr="006A2F27" w:rsidRDefault="00AA7E31">
      <w:pPr>
        <w:pStyle w:val="Heading3"/>
      </w:pPr>
      <w:r w:rsidRPr="006A2F27">
        <w:t>Small Bowel Adenocarcinoma</w:t>
      </w:r>
      <w:r w:rsidRPr="006A2F27">
        <w:rPr>
          <w:vertAlign w:val="superscript"/>
        </w:rPr>
        <w:t>2</w:t>
      </w:r>
    </w:p>
    <w:p w14:paraId="4DF1E297" w14:textId="11361CF6" w:rsidR="00AA7E31" w:rsidRPr="006A2F27" w:rsidRDefault="00AA7E31" w:rsidP="00DD5B39">
      <w:pPr>
        <w:pStyle w:val="BodyText"/>
      </w:pPr>
      <w:r w:rsidRPr="006A2F27">
        <w:t>Authorization of 6 months may be granted as a single agent for treatment of unresectable, inoperable, advanced or metastatic small bowel adenocarcinoma for microsatellite instability-high (MSI-H), or mismatch repair deficient (dMMR), or polymerase epsilon/delta (POLE/POLD1) tumors</w:t>
      </w:r>
      <w:r w:rsidR="00C16B95" w:rsidRPr="006A2F27">
        <w:t xml:space="preserve"> with ultra-hypermutated phenotype (e.g., tumor mutational burden (TMB) &gt; 50 mut/Mb)</w:t>
      </w:r>
      <w:r w:rsidRPr="006A2F27">
        <w:t>.</w:t>
      </w:r>
    </w:p>
    <w:p w14:paraId="72B119C7" w14:textId="7EEA6A3F" w:rsidR="00AA7E31" w:rsidRPr="006A2F27" w:rsidRDefault="00AA7E31">
      <w:pPr>
        <w:pStyle w:val="Heading3"/>
      </w:pPr>
      <w:r w:rsidRPr="006A2F27">
        <w:t>Anal Carcinoma</w:t>
      </w:r>
      <w:r w:rsidRPr="006A2F27">
        <w:rPr>
          <w:vertAlign w:val="superscript"/>
        </w:rPr>
        <w:t>2</w:t>
      </w:r>
    </w:p>
    <w:p w14:paraId="12B0428B" w14:textId="048CD84A" w:rsidR="00AA7E31" w:rsidRPr="006A2F27" w:rsidRDefault="00936095" w:rsidP="00DD5B39">
      <w:pPr>
        <w:pStyle w:val="BodyText"/>
      </w:pPr>
      <w:r w:rsidRPr="006A2F27">
        <w:t>Authorization of 6 months may be granted as a single agent for subsequent treatment of metastatic anal ca</w:t>
      </w:r>
      <w:r w:rsidR="00BD1FFF" w:rsidRPr="006A2F27">
        <w:t>rcinoma</w:t>
      </w:r>
      <w:r w:rsidRPr="006A2F27">
        <w:t>.</w:t>
      </w:r>
    </w:p>
    <w:p w14:paraId="1B68C298" w14:textId="2512C13C" w:rsidR="00936095" w:rsidRPr="006A2F27" w:rsidRDefault="00936095">
      <w:pPr>
        <w:pStyle w:val="Heading3"/>
      </w:pPr>
      <w:r w:rsidRPr="006A2F27">
        <w:t>Head and Neck Cancer</w:t>
      </w:r>
      <w:r w:rsidRPr="006A2F27">
        <w:rPr>
          <w:vertAlign w:val="superscript"/>
        </w:rPr>
        <w:t>2</w:t>
      </w:r>
    </w:p>
    <w:p w14:paraId="66D9205A" w14:textId="1B9C9A0A" w:rsidR="00936095" w:rsidRPr="006A2F27" w:rsidRDefault="00936095" w:rsidP="00DD5B39">
      <w:pPr>
        <w:pStyle w:val="BodyText"/>
      </w:pPr>
      <w:r w:rsidRPr="006A2F27">
        <w:t xml:space="preserve">Authorization of 6 months may be granted in combination with cisplatin and gemcitabine for subsequent treatment of </w:t>
      </w:r>
      <w:r w:rsidR="00AF07A8" w:rsidRPr="006A2F27">
        <w:t xml:space="preserve">metastatic </w:t>
      </w:r>
      <w:r w:rsidRPr="006A2F27">
        <w:t>nasopharyngeal cancer.</w:t>
      </w:r>
    </w:p>
    <w:p w14:paraId="42F4984C" w14:textId="36D2F03F" w:rsidR="00224103" w:rsidRPr="006A2F27" w:rsidRDefault="00224103" w:rsidP="00224103">
      <w:pPr>
        <w:pStyle w:val="Heading3"/>
      </w:pPr>
      <w:r w:rsidRPr="006A2F27">
        <w:t xml:space="preserve">Colon </w:t>
      </w:r>
      <w:r w:rsidR="00CF16A5" w:rsidRPr="006A2F27">
        <w:t>Cancer</w:t>
      </w:r>
      <w:r w:rsidRPr="006A2F27">
        <w:rPr>
          <w:vertAlign w:val="superscript"/>
        </w:rPr>
        <w:t>2</w:t>
      </w:r>
    </w:p>
    <w:p w14:paraId="3C838316" w14:textId="0E2DC52E" w:rsidR="00224103" w:rsidRPr="006A2F27" w:rsidRDefault="00224103" w:rsidP="00224103">
      <w:pPr>
        <w:pStyle w:val="BodyText"/>
      </w:pPr>
      <w:r w:rsidRPr="006816A2">
        <w:t xml:space="preserve">Authorization of 6 months may be granted as a single agent for </w:t>
      </w:r>
      <w:r w:rsidR="00CF16A5" w:rsidRPr="006816A2">
        <w:t xml:space="preserve">neoadjuvant therapy or </w:t>
      </w:r>
      <w:r w:rsidRPr="006816A2">
        <w:t xml:space="preserve">treatment of unresectable, inoperable, or metastatic </w:t>
      </w:r>
      <w:r w:rsidR="00B7136F" w:rsidRPr="006816A2">
        <w:t>colon adenocarcinoma</w:t>
      </w:r>
      <w:r w:rsidRPr="006816A2">
        <w:t xml:space="preserve"> for microsatellite instability-high (MSI-H), or mismatch repair deficient (dMMR), or polymerase epsilon/delta (POLE/POLD1) tumors with ultra-hypermutated phenotype (e.g., tumor mutational burden (TMB) &gt; 50 mut/Mb</w:t>
      </w:r>
      <w:r w:rsidRPr="006A2F27">
        <w:t>).</w:t>
      </w:r>
    </w:p>
    <w:p w14:paraId="02366F30" w14:textId="08CAE1DD" w:rsidR="00CF16A5" w:rsidRPr="006A2F27" w:rsidRDefault="00CF16A5" w:rsidP="00CF16A5">
      <w:pPr>
        <w:pStyle w:val="Heading3"/>
      </w:pPr>
      <w:r w:rsidRPr="006A2F27">
        <w:t>Appendiceal Cancer</w:t>
      </w:r>
      <w:r w:rsidRPr="006A2F27">
        <w:rPr>
          <w:vertAlign w:val="superscript"/>
        </w:rPr>
        <w:t>2</w:t>
      </w:r>
    </w:p>
    <w:p w14:paraId="7D5426FA" w14:textId="5B38FF6C" w:rsidR="00CF16A5" w:rsidRPr="006A2F27" w:rsidRDefault="00CF16A5" w:rsidP="00CF16A5">
      <w:pPr>
        <w:pStyle w:val="BodyText"/>
      </w:pPr>
      <w:r w:rsidRPr="006816A2">
        <w:t>Authorization of 6 months may be granted as a single agent for treatment of advanced or metastatic appendiceal adenocarcinoma for microsatellite instability-high (MSI-H), or mismatch repair deficient (dMMR), or polymerase epsilon/delta (POLE/POLD1) tumors with ultra-hypermutated phenotype (e.g., tumor mutational burden (TMB) &gt; 50 mut/Mb</w:t>
      </w:r>
      <w:r w:rsidRPr="006A2F27">
        <w:t>).</w:t>
      </w:r>
    </w:p>
    <w:p w14:paraId="6D6D630A" w14:textId="00671735" w:rsidR="00CF16A5" w:rsidRPr="006A2F27" w:rsidRDefault="00CF16A5" w:rsidP="00CF16A5">
      <w:pPr>
        <w:pStyle w:val="Heading3"/>
      </w:pPr>
      <w:r w:rsidRPr="006A2F27">
        <w:t>Rectal Cancer</w:t>
      </w:r>
      <w:r w:rsidRPr="006A2F27">
        <w:rPr>
          <w:vertAlign w:val="superscript"/>
        </w:rPr>
        <w:t>2</w:t>
      </w:r>
    </w:p>
    <w:p w14:paraId="187D6DEC" w14:textId="07CFBFB5" w:rsidR="00CF16A5" w:rsidRDefault="00CF16A5" w:rsidP="00CF16A5">
      <w:pPr>
        <w:pStyle w:val="BodyText"/>
      </w:pPr>
      <w:r w:rsidRPr="006816A2">
        <w:t xml:space="preserve">Authorization of 6 months may be granted as a single agent for neoadjuvant therapy or treatment of recurrent or metastatic </w:t>
      </w:r>
      <w:r w:rsidR="002E0903">
        <w:t>rectal</w:t>
      </w:r>
      <w:r w:rsidRPr="006816A2">
        <w:t xml:space="preserve"> adenocarcinoma for microsatellite instability-high (MSI-H), or mismatch repair deficient (dMMR), or polymerase epsilon/delta (POLE/POLD1) tumors with ultra-hypermutated phenotype (e.g., tumor mutational burden (TMB) &gt; 50 mut/Mb</w:t>
      </w:r>
      <w:r w:rsidRPr="006A2F27">
        <w:t>).</w:t>
      </w:r>
    </w:p>
    <w:p w14:paraId="3D72B602" w14:textId="7597D2F6" w:rsidR="002D3717" w:rsidRPr="00A91246" w:rsidRDefault="00A91246" w:rsidP="00A91246">
      <w:pPr>
        <w:pStyle w:val="Heading2"/>
      </w:pPr>
      <w:r w:rsidRPr="00A91246">
        <w:t xml:space="preserve">Continuation </w:t>
      </w:r>
      <w:r>
        <w:t>o</w:t>
      </w:r>
      <w:r w:rsidRPr="00A91246">
        <w:t>f Therapy</w:t>
      </w:r>
    </w:p>
    <w:p w14:paraId="74BD2DDC" w14:textId="77777777" w:rsidR="002D3717" w:rsidRPr="00CB5B95" w:rsidRDefault="002D3717" w:rsidP="00CB5B95">
      <w:pPr>
        <w:pStyle w:val="BodyText"/>
      </w:pPr>
      <w:r w:rsidRPr="00CB5B95">
        <w:t>Authorization of 6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5C8513B6" w:rsidR="00FF66BF" w:rsidRPr="002D3717" w:rsidRDefault="00FF66BF" w:rsidP="00FF66BF">
      <w:pPr>
        <w:pStyle w:val="Heading2"/>
      </w:pPr>
      <w:r w:rsidRPr="002D3717">
        <w:t>References</w:t>
      </w:r>
    </w:p>
    <w:p w14:paraId="496BBFF7" w14:textId="09D31861" w:rsidR="00D437CD" w:rsidRPr="00566ABA" w:rsidRDefault="00D437CD" w:rsidP="00364C83">
      <w:pPr>
        <w:pStyle w:val="ReferenceOrdered"/>
        <w:rPr>
          <w:lang w:val="it-IT"/>
        </w:rPr>
      </w:pPr>
      <w:r w:rsidRPr="00566ABA">
        <w:rPr>
          <w:lang w:val="it-IT"/>
        </w:rPr>
        <w:t xml:space="preserve">Tevimbra [package insert]. San Mateo, CA: BeiGene USA, Inc; </w:t>
      </w:r>
      <w:r w:rsidR="00224103">
        <w:rPr>
          <w:lang w:val="it-IT"/>
        </w:rPr>
        <w:t>March</w:t>
      </w:r>
      <w:r w:rsidR="00224103" w:rsidRPr="00566ABA">
        <w:rPr>
          <w:lang w:val="it-IT"/>
        </w:rPr>
        <w:t xml:space="preserve"> </w:t>
      </w:r>
      <w:r w:rsidRPr="00566ABA">
        <w:rPr>
          <w:lang w:val="it-IT"/>
        </w:rPr>
        <w:t>202</w:t>
      </w:r>
      <w:r w:rsidR="00224103">
        <w:rPr>
          <w:lang w:val="it-IT"/>
        </w:rPr>
        <w:t>5</w:t>
      </w:r>
      <w:r w:rsidRPr="00566ABA">
        <w:rPr>
          <w:lang w:val="it-IT"/>
        </w:rPr>
        <w:t>.</w:t>
      </w:r>
    </w:p>
    <w:p w14:paraId="26E25A0F" w14:textId="43BDAA82" w:rsidR="00FF66BF" w:rsidRPr="00364C83" w:rsidRDefault="00D437CD" w:rsidP="00364C83">
      <w:pPr>
        <w:pStyle w:val="ReferenceOrdered"/>
      </w:pPr>
      <w:r w:rsidRPr="00364C83">
        <w:t>The NCCN Drugs &amp; Biologics Compendium® © 202</w:t>
      </w:r>
      <w:r w:rsidR="006A2F27">
        <w:t>5</w:t>
      </w:r>
      <w:r w:rsidRPr="00364C83">
        <w:t xml:space="preserve"> National Comprehensive Cancer Network, Inc. https://www.nccn.org. Accessed </w:t>
      </w:r>
      <w:r w:rsidR="006A2F27">
        <w:t>March 7</w:t>
      </w:r>
      <w:r w:rsidRPr="00364C83">
        <w:t>, 202</w:t>
      </w:r>
      <w:r w:rsidR="006A2F27">
        <w:t>5</w:t>
      </w:r>
      <w:r w:rsidRPr="00364C83">
        <w:t>.</w:t>
      </w:r>
    </w:p>
    <w:sectPr w:rsidR="00FF66BF" w:rsidRPr="00364C83" w:rsidSect="004170A2">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97432" w14:textId="77777777" w:rsidR="00C66F66" w:rsidRDefault="00C66F66">
      <w:r>
        <w:separator/>
      </w:r>
    </w:p>
  </w:endnote>
  <w:endnote w:type="continuationSeparator" w:id="0">
    <w:p w14:paraId="678573FF" w14:textId="77777777" w:rsidR="00C66F66" w:rsidRDefault="00C66F66">
      <w:r>
        <w:continuationSeparator/>
      </w:r>
    </w:p>
  </w:endnote>
  <w:endnote w:type="continuationNotice" w:id="1">
    <w:p w14:paraId="2F9148C4" w14:textId="77777777" w:rsidR="00C66F66" w:rsidRDefault="00C66F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74FEC1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566ABA">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3B5533" w:rsidRPr="003B5533">
      <w:rPr>
        <w:rFonts w:cs="Arial"/>
        <w:noProof/>
        <w:sz w:val="16"/>
        <w:szCs w:val="16"/>
        <w:lang w:val="it-IT"/>
      </w:rPr>
      <w:t>Tevimbra</w:t>
    </w:r>
    <w:r w:rsidR="003B5533">
      <w:rPr>
        <w:rFonts w:cs="Arial"/>
        <w:noProof/>
        <w:snapToGrid w:val="0"/>
        <w:color w:val="000000"/>
        <w:sz w:val="16"/>
        <w:szCs w:val="16"/>
        <w:lang w:val="it-IT"/>
      </w:rPr>
      <w:t xml:space="preserve"> SGM 6422-A</w:t>
    </w:r>
    <w:r w:rsidR="003B5533" w:rsidRPr="003B5533">
      <w:rPr>
        <w:rFonts w:cs="Arial"/>
        <w:noProof/>
        <w:sz w:val="16"/>
        <w:szCs w:val="16"/>
        <w:lang w:val="it-IT"/>
      </w:rPr>
      <w:t xml:space="preserve"> P2024d.docx</w:t>
    </w:r>
    <w:r w:rsidRPr="00EC47B6">
      <w:rPr>
        <w:rFonts w:cs="Arial"/>
        <w:noProof/>
        <w:sz w:val="16"/>
        <w:szCs w:val="16"/>
      </w:rPr>
      <w:fldChar w:fldCharType="end"/>
    </w:r>
    <w:r w:rsidRPr="00566ABA">
      <w:rPr>
        <w:rFonts w:cs="Arial"/>
        <w:snapToGrid w:val="0"/>
        <w:color w:val="000000"/>
        <w:sz w:val="16"/>
        <w:lang w:val="it-IT"/>
      </w:rPr>
      <w:tab/>
      <w:t>© 202</w:t>
    </w:r>
    <w:r w:rsidR="008B6DBE" w:rsidRPr="00566ABA">
      <w:rPr>
        <w:rFonts w:cs="Arial"/>
        <w:snapToGrid w:val="0"/>
        <w:color w:val="000000"/>
        <w:sz w:val="16"/>
        <w:lang w:val="it-IT"/>
      </w:rPr>
      <w:t>4</w:t>
    </w:r>
    <w:r w:rsidRPr="00566ABA">
      <w:rPr>
        <w:rFonts w:cs="Arial"/>
        <w:snapToGrid w:val="0"/>
        <w:color w:val="000000"/>
        <w:sz w:val="16"/>
        <w:lang w:val="it-IT"/>
      </w:rPr>
      <w:t xml:space="preserve"> CVS Caremark. </w:t>
    </w:r>
    <w:r w:rsidRPr="00EC47B6">
      <w:rPr>
        <w:rFonts w:cs="Arial"/>
        <w:snapToGrid w:val="0"/>
        <w:color w:val="000000"/>
        <w:sz w:val="16"/>
      </w:rPr>
      <w:t>All rights reserved.</w:t>
    </w:r>
  </w:p>
  <w:p w14:paraId="61CF5924" w14:textId="1942670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C3A7DF5" w:rsidR="00F75C81" w:rsidRPr="007E4F2B" w:rsidRDefault="00C36B72" w:rsidP="007E4F2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4225156"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364C83">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3B5533" w:rsidRPr="003B5533">
      <w:rPr>
        <w:rFonts w:cs="Arial"/>
        <w:noProof/>
        <w:sz w:val="16"/>
        <w:szCs w:val="16"/>
        <w:lang w:val="pt-PT"/>
      </w:rPr>
      <w:t>Tevimbra</w:t>
    </w:r>
    <w:r w:rsidR="003B5533">
      <w:rPr>
        <w:rFonts w:cs="Arial"/>
        <w:noProof/>
        <w:snapToGrid w:val="0"/>
        <w:color w:val="000000"/>
        <w:sz w:val="16"/>
        <w:szCs w:val="16"/>
        <w:lang w:val="pt-PT"/>
      </w:rPr>
      <w:t xml:space="preserve"> SGM 6422-A</w:t>
    </w:r>
    <w:r w:rsidR="003B5533" w:rsidRPr="003B5533">
      <w:rPr>
        <w:rFonts w:cs="Arial"/>
        <w:noProof/>
        <w:sz w:val="16"/>
        <w:szCs w:val="16"/>
        <w:lang w:val="pt-PT"/>
      </w:rPr>
      <w:t xml:space="preserve"> P2024d.docx</w:t>
    </w:r>
    <w:r w:rsidRPr="00EC47B6">
      <w:rPr>
        <w:rFonts w:cs="Arial"/>
        <w:noProof/>
        <w:sz w:val="16"/>
        <w:szCs w:val="16"/>
      </w:rPr>
      <w:fldChar w:fldCharType="end"/>
    </w:r>
    <w:r w:rsidRPr="00364C83">
      <w:rPr>
        <w:rFonts w:cs="Arial"/>
        <w:snapToGrid w:val="0"/>
        <w:color w:val="000000"/>
        <w:sz w:val="16"/>
        <w:lang w:val="pt-PT"/>
      </w:rPr>
      <w:tab/>
      <w:t>© 202</w:t>
    </w:r>
    <w:r w:rsidR="00D74279" w:rsidRPr="00364C83">
      <w:rPr>
        <w:rFonts w:cs="Arial"/>
        <w:snapToGrid w:val="0"/>
        <w:color w:val="000000"/>
        <w:sz w:val="16"/>
        <w:lang w:val="pt-PT"/>
      </w:rPr>
      <w:t>4</w:t>
    </w:r>
    <w:r w:rsidRPr="00364C83">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004D031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041D153" w:rsidR="00ED04EC" w:rsidRPr="00F50D98" w:rsidRDefault="00F50D98" w:rsidP="007F715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9D62A" w14:textId="77777777" w:rsidR="00C66F66" w:rsidRDefault="00C66F66">
      <w:r>
        <w:separator/>
      </w:r>
    </w:p>
  </w:footnote>
  <w:footnote w:type="continuationSeparator" w:id="0">
    <w:p w14:paraId="711079DC" w14:textId="77777777" w:rsidR="00C66F66" w:rsidRDefault="00C66F66">
      <w:r>
        <w:continuationSeparator/>
      </w:r>
    </w:p>
  </w:footnote>
  <w:footnote w:type="continuationNotice" w:id="1">
    <w:p w14:paraId="015D7308" w14:textId="77777777" w:rsidR="00C66F66" w:rsidRDefault="00C66F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13A79848" w:rsidR="00ED04EC" w:rsidRPr="004C7F1D" w:rsidRDefault="00134A19" w:rsidP="00ED04EC">
          <w:pPr>
            <w:pStyle w:val="Header"/>
            <w:rPr>
              <w:rFonts w:ascii="Arial" w:hAnsi="Arial" w:cs="Arial"/>
              <w:sz w:val="16"/>
              <w:szCs w:val="16"/>
            </w:rPr>
          </w:pPr>
          <w:r w:rsidRPr="00134A19">
            <w:rPr>
              <w:rFonts w:ascii="Arial" w:hAnsi="Arial" w:cs="Arial"/>
              <w:sz w:val="16"/>
              <w:szCs w:val="16"/>
            </w:rPr>
            <w:t>6422-A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BB183D"/>
    <w:multiLevelType w:val="hybridMultilevel"/>
    <w:tmpl w:val="0D165D2C"/>
    <w:lvl w:ilvl="0" w:tplc="FDF2F36A">
      <w:start w:val="1"/>
      <w:numFmt w:val="upperLetter"/>
      <w:lvlText w:val="%1."/>
      <w:lvlJc w:val="left"/>
      <w:pPr>
        <w:ind w:left="1080" w:hanging="360"/>
      </w:pPr>
      <w:rPr>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57561A2"/>
    <w:multiLevelType w:val="hybridMultilevel"/>
    <w:tmpl w:val="83B8B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EC0619"/>
    <w:multiLevelType w:val="hybridMultilevel"/>
    <w:tmpl w:val="32765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D1F597F"/>
    <w:multiLevelType w:val="hybridMultilevel"/>
    <w:tmpl w:val="03F295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0090162"/>
    <w:multiLevelType w:val="hybridMultilevel"/>
    <w:tmpl w:val="7ACC6EEC"/>
    <w:lvl w:ilvl="0" w:tplc="F0D26258">
      <w:start w:val="2"/>
      <w:numFmt w:val="upperLetter"/>
      <w:lvlText w:val="%1."/>
      <w:lvlJc w:val="left"/>
      <w:pPr>
        <w:ind w:left="108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DD2A70"/>
    <w:multiLevelType w:val="hybridMultilevel"/>
    <w:tmpl w:val="8B70A8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C7026B"/>
    <w:multiLevelType w:val="hybridMultilevel"/>
    <w:tmpl w:val="CE54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B11733"/>
    <w:multiLevelType w:val="hybridMultilevel"/>
    <w:tmpl w:val="BD00476A"/>
    <w:lvl w:ilvl="0" w:tplc="F2D8F44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8458DA"/>
    <w:multiLevelType w:val="hybridMultilevel"/>
    <w:tmpl w:val="F2DA3D96"/>
    <w:lvl w:ilvl="0" w:tplc="2294EEA4">
      <w:start w:val="2"/>
      <w:numFmt w:val="upp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0"/>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1"/>
  </w:num>
  <w:num w:numId="17" w16cid:durableId="2128498676">
    <w:abstractNumId w:val="34"/>
  </w:num>
  <w:num w:numId="18" w16cid:durableId="299724409">
    <w:abstractNumId w:val="26"/>
  </w:num>
  <w:num w:numId="19" w16cid:durableId="214585573">
    <w:abstractNumId w:val="16"/>
  </w:num>
  <w:num w:numId="20" w16cid:durableId="1289816170">
    <w:abstractNumId w:val="18"/>
  </w:num>
  <w:num w:numId="21" w16cid:durableId="1066490929">
    <w:abstractNumId w:val="35"/>
  </w:num>
  <w:num w:numId="22" w16cid:durableId="1472481103">
    <w:abstractNumId w:val="28"/>
  </w:num>
  <w:num w:numId="23" w16cid:durableId="1997420403">
    <w:abstractNumId w:val="31"/>
  </w:num>
  <w:num w:numId="24" w16cid:durableId="33312838">
    <w:abstractNumId w:val="27"/>
  </w:num>
  <w:num w:numId="25" w16cid:durableId="507404939">
    <w:abstractNumId w:val="20"/>
  </w:num>
  <w:num w:numId="26" w16cid:durableId="1950313333">
    <w:abstractNumId w:val="23"/>
  </w:num>
  <w:num w:numId="27" w16cid:durableId="1866016584">
    <w:abstractNumId w:val="22"/>
  </w:num>
  <w:num w:numId="28" w16cid:durableId="71776631">
    <w:abstractNumId w:val="32"/>
  </w:num>
  <w:num w:numId="29" w16cid:durableId="416438805">
    <w:abstractNumId w:val="17"/>
  </w:num>
  <w:num w:numId="30" w16cid:durableId="463086347">
    <w:abstractNumId w:val="11"/>
  </w:num>
  <w:num w:numId="31" w16cid:durableId="780993510">
    <w:abstractNumId w:val="19"/>
  </w:num>
  <w:num w:numId="32" w16cid:durableId="1476798155">
    <w:abstractNumId w:val="33"/>
  </w:num>
  <w:num w:numId="33" w16cid:durableId="1331057681">
    <w:abstractNumId w:val="24"/>
  </w:num>
  <w:num w:numId="34" w16cid:durableId="820121874">
    <w:abstractNumId w:val="15"/>
  </w:num>
  <w:num w:numId="35" w16cid:durableId="1468622957">
    <w:abstractNumId w:val="29"/>
  </w:num>
  <w:num w:numId="36" w16cid:durableId="1119035654">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2085"/>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3FF"/>
    <w:rsid w:val="000B7827"/>
    <w:rsid w:val="000B7CFC"/>
    <w:rsid w:val="000C1120"/>
    <w:rsid w:val="000C1550"/>
    <w:rsid w:val="000C2343"/>
    <w:rsid w:val="000C28E8"/>
    <w:rsid w:val="000C3AD3"/>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4A19"/>
    <w:rsid w:val="0013503B"/>
    <w:rsid w:val="001356EF"/>
    <w:rsid w:val="00136BE6"/>
    <w:rsid w:val="001370F9"/>
    <w:rsid w:val="00137657"/>
    <w:rsid w:val="00137956"/>
    <w:rsid w:val="00137C7B"/>
    <w:rsid w:val="00140150"/>
    <w:rsid w:val="00140B8C"/>
    <w:rsid w:val="00140ED6"/>
    <w:rsid w:val="0014405C"/>
    <w:rsid w:val="0014413C"/>
    <w:rsid w:val="00144795"/>
    <w:rsid w:val="001448D4"/>
    <w:rsid w:val="00144B23"/>
    <w:rsid w:val="00144BEB"/>
    <w:rsid w:val="00145A96"/>
    <w:rsid w:val="00146C1A"/>
    <w:rsid w:val="00147D46"/>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103"/>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DC2"/>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95"/>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67DD2"/>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322B"/>
    <w:rsid w:val="0028452B"/>
    <w:rsid w:val="00284D74"/>
    <w:rsid w:val="00285945"/>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5E06"/>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717"/>
    <w:rsid w:val="002D49E5"/>
    <w:rsid w:val="002D6257"/>
    <w:rsid w:val="002D6987"/>
    <w:rsid w:val="002E030E"/>
    <w:rsid w:val="002E04AC"/>
    <w:rsid w:val="002E06B0"/>
    <w:rsid w:val="002E0903"/>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26C"/>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3369"/>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83"/>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533"/>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97B"/>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498B"/>
    <w:rsid w:val="004154F5"/>
    <w:rsid w:val="0041567E"/>
    <w:rsid w:val="004159B2"/>
    <w:rsid w:val="004170A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3D86"/>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ABA"/>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1D1"/>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EE"/>
    <w:rsid w:val="005E5EF1"/>
    <w:rsid w:val="005E5F2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2FB"/>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5FEF"/>
    <w:rsid w:val="00626122"/>
    <w:rsid w:val="006266FE"/>
    <w:rsid w:val="00626803"/>
    <w:rsid w:val="006278F4"/>
    <w:rsid w:val="00627B98"/>
    <w:rsid w:val="00630D2D"/>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61B2"/>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16A2"/>
    <w:rsid w:val="0068254A"/>
    <w:rsid w:val="00683327"/>
    <w:rsid w:val="00683AAE"/>
    <w:rsid w:val="00683C7C"/>
    <w:rsid w:val="0068444E"/>
    <w:rsid w:val="00684881"/>
    <w:rsid w:val="00684B08"/>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2F27"/>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91F"/>
    <w:rsid w:val="006E7E43"/>
    <w:rsid w:val="006E7FCD"/>
    <w:rsid w:val="006F01E6"/>
    <w:rsid w:val="006F05FA"/>
    <w:rsid w:val="006F214B"/>
    <w:rsid w:val="006F2882"/>
    <w:rsid w:val="006F2F38"/>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303"/>
    <w:rsid w:val="007425D5"/>
    <w:rsid w:val="007434DC"/>
    <w:rsid w:val="0074407C"/>
    <w:rsid w:val="007443EA"/>
    <w:rsid w:val="007444A8"/>
    <w:rsid w:val="0074476D"/>
    <w:rsid w:val="00744C0E"/>
    <w:rsid w:val="0074539C"/>
    <w:rsid w:val="00745515"/>
    <w:rsid w:val="00745752"/>
    <w:rsid w:val="00745890"/>
    <w:rsid w:val="00747168"/>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080"/>
    <w:rsid w:val="0076417D"/>
    <w:rsid w:val="00765BBE"/>
    <w:rsid w:val="00766061"/>
    <w:rsid w:val="007704F3"/>
    <w:rsid w:val="007710F2"/>
    <w:rsid w:val="007716E9"/>
    <w:rsid w:val="00772C13"/>
    <w:rsid w:val="00773060"/>
    <w:rsid w:val="00773513"/>
    <w:rsid w:val="0077365E"/>
    <w:rsid w:val="007741BD"/>
    <w:rsid w:val="0077473F"/>
    <w:rsid w:val="00774C09"/>
    <w:rsid w:val="00775C9E"/>
    <w:rsid w:val="007775AA"/>
    <w:rsid w:val="00777708"/>
    <w:rsid w:val="007778B0"/>
    <w:rsid w:val="00777BDA"/>
    <w:rsid w:val="0078082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4F2B"/>
    <w:rsid w:val="007E5C16"/>
    <w:rsid w:val="007E5C40"/>
    <w:rsid w:val="007E7B46"/>
    <w:rsid w:val="007F02C3"/>
    <w:rsid w:val="007F11E6"/>
    <w:rsid w:val="007F20FF"/>
    <w:rsid w:val="007F2388"/>
    <w:rsid w:val="007F2641"/>
    <w:rsid w:val="007F280C"/>
    <w:rsid w:val="007F2FAC"/>
    <w:rsid w:val="007F349F"/>
    <w:rsid w:val="007F46C5"/>
    <w:rsid w:val="007F475E"/>
    <w:rsid w:val="007F4876"/>
    <w:rsid w:val="007F5BA5"/>
    <w:rsid w:val="007F6891"/>
    <w:rsid w:val="007F715C"/>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400"/>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AA5"/>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9B2"/>
    <w:rsid w:val="00930F9F"/>
    <w:rsid w:val="00930FF5"/>
    <w:rsid w:val="00931D1D"/>
    <w:rsid w:val="00931D32"/>
    <w:rsid w:val="009323E1"/>
    <w:rsid w:val="009324A8"/>
    <w:rsid w:val="00932532"/>
    <w:rsid w:val="00933E6D"/>
    <w:rsid w:val="00934A46"/>
    <w:rsid w:val="00935BC3"/>
    <w:rsid w:val="00936095"/>
    <w:rsid w:val="00937266"/>
    <w:rsid w:val="00940AA9"/>
    <w:rsid w:val="00941264"/>
    <w:rsid w:val="0094143E"/>
    <w:rsid w:val="00942522"/>
    <w:rsid w:val="0094296E"/>
    <w:rsid w:val="0094298C"/>
    <w:rsid w:val="009434E1"/>
    <w:rsid w:val="0094553A"/>
    <w:rsid w:val="00946CDC"/>
    <w:rsid w:val="00947FC1"/>
    <w:rsid w:val="009506DE"/>
    <w:rsid w:val="009517E1"/>
    <w:rsid w:val="00951B46"/>
    <w:rsid w:val="009533D9"/>
    <w:rsid w:val="0095377B"/>
    <w:rsid w:val="00953978"/>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923"/>
    <w:rsid w:val="00964B9E"/>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A78"/>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06ED"/>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1E4"/>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612"/>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246"/>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A7E31"/>
    <w:rsid w:val="00AB03C3"/>
    <w:rsid w:val="00AB060C"/>
    <w:rsid w:val="00AB07BF"/>
    <w:rsid w:val="00AB0812"/>
    <w:rsid w:val="00AB09BC"/>
    <w:rsid w:val="00AB12D9"/>
    <w:rsid w:val="00AB1987"/>
    <w:rsid w:val="00AB299D"/>
    <w:rsid w:val="00AB2BF1"/>
    <w:rsid w:val="00AB3600"/>
    <w:rsid w:val="00AB3A4C"/>
    <w:rsid w:val="00AB3ACD"/>
    <w:rsid w:val="00AB3B7A"/>
    <w:rsid w:val="00AB3D1E"/>
    <w:rsid w:val="00AB4364"/>
    <w:rsid w:val="00AB44C8"/>
    <w:rsid w:val="00AB5F0B"/>
    <w:rsid w:val="00AB6199"/>
    <w:rsid w:val="00AB67A6"/>
    <w:rsid w:val="00AB6C64"/>
    <w:rsid w:val="00AB7A2F"/>
    <w:rsid w:val="00AB7AED"/>
    <w:rsid w:val="00AB7E33"/>
    <w:rsid w:val="00AC0183"/>
    <w:rsid w:val="00AC04B1"/>
    <w:rsid w:val="00AC0698"/>
    <w:rsid w:val="00AC0818"/>
    <w:rsid w:val="00AC0D0F"/>
    <w:rsid w:val="00AC1ACC"/>
    <w:rsid w:val="00AC2252"/>
    <w:rsid w:val="00AC2831"/>
    <w:rsid w:val="00AC2C91"/>
    <w:rsid w:val="00AC2FF1"/>
    <w:rsid w:val="00AC3092"/>
    <w:rsid w:val="00AC319E"/>
    <w:rsid w:val="00AC3729"/>
    <w:rsid w:val="00AC3ACD"/>
    <w:rsid w:val="00AC4F0F"/>
    <w:rsid w:val="00AC5988"/>
    <w:rsid w:val="00AC6DB3"/>
    <w:rsid w:val="00AC6F3B"/>
    <w:rsid w:val="00AC7B9C"/>
    <w:rsid w:val="00AD04FE"/>
    <w:rsid w:val="00AD1327"/>
    <w:rsid w:val="00AD15D0"/>
    <w:rsid w:val="00AD172C"/>
    <w:rsid w:val="00AD1F50"/>
    <w:rsid w:val="00AD457D"/>
    <w:rsid w:val="00AD5212"/>
    <w:rsid w:val="00AD5E4E"/>
    <w:rsid w:val="00AD6657"/>
    <w:rsid w:val="00AD6ADD"/>
    <w:rsid w:val="00AD703C"/>
    <w:rsid w:val="00AE068F"/>
    <w:rsid w:val="00AE1ECB"/>
    <w:rsid w:val="00AE22E9"/>
    <w:rsid w:val="00AE2C21"/>
    <w:rsid w:val="00AE3026"/>
    <w:rsid w:val="00AE31CB"/>
    <w:rsid w:val="00AE460D"/>
    <w:rsid w:val="00AE4981"/>
    <w:rsid w:val="00AE499B"/>
    <w:rsid w:val="00AE49D3"/>
    <w:rsid w:val="00AE4ABE"/>
    <w:rsid w:val="00AE5C42"/>
    <w:rsid w:val="00AE601E"/>
    <w:rsid w:val="00AE609A"/>
    <w:rsid w:val="00AE6E56"/>
    <w:rsid w:val="00AE7161"/>
    <w:rsid w:val="00AE74EE"/>
    <w:rsid w:val="00AF0414"/>
    <w:rsid w:val="00AF0473"/>
    <w:rsid w:val="00AF07A8"/>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4E3"/>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36F"/>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97F52"/>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1FFF"/>
    <w:rsid w:val="00BD2A68"/>
    <w:rsid w:val="00BD2E54"/>
    <w:rsid w:val="00BD5061"/>
    <w:rsid w:val="00BD5527"/>
    <w:rsid w:val="00BD589A"/>
    <w:rsid w:val="00BD5D53"/>
    <w:rsid w:val="00BD672B"/>
    <w:rsid w:val="00BD6ED4"/>
    <w:rsid w:val="00BD7564"/>
    <w:rsid w:val="00BE0818"/>
    <w:rsid w:val="00BE1277"/>
    <w:rsid w:val="00BE181E"/>
    <w:rsid w:val="00BE1A32"/>
    <w:rsid w:val="00BE1B01"/>
    <w:rsid w:val="00BE23F2"/>
    <w:rsid w:val="00BE2659"/>
    <w:rsid w:val="00BE2E87"/>
    <w:rsid w:val="00BE38A5"/>
    <w:rsid w:val="00BE3B53"/>
    <w:rsid w:val="00BE3BC7"/>
    <w:rsid w:val="00BE4562"/>
    <w:rsid w:val="00BE48DC"/>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6B95"/>
    <w:rsid w:val="00C1728D"/>
    <w:rsid w:val="00C174D0"/>
    <w:rsid w:val="00C1768D"/>
    <w:rsid w:val="00C20117"/>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67"/>
    <w:rsid w:val="00C6319D"/>
    <w:rsid w:val="00C631C5"/>
    <w:rsid w:val="00C6390D"/>
    <w:rsid w:val="00C64534"/>
    <w:rsid w:val="00C64859"/>
    <w:rsid w:val="00C65465"/>
    <w:rsid w:val="00C65502"/>
    <w:rsid w:val="00C66F66"/>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1FF"/>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5B9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16A5"/>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374C"/>
    <w:rsid w:val="00D04030"/>
    <w:rsid w:val="00D04302"/>
    <w:rsid w:val="00D04349"/>
    <w:rsid w:val="00D048E0"/>
    <w:rsid w:val="00D04AEE"/>
    <w:rsid w:val="00D04CA2"/>
    <w:rsid w:val="00D0573D"/>
    <w:rsid w:val="00D0592B"/>
    <w:rsid w:val="00D062C3"/>
    <w:rsid w:val="00D06BF8"/>
    <w:rsid w:val="00D07FF9"/>
    <w:rsid w:val="00D10EEE"/>
    <w:rsid w:val="00D115C5"/>
    <w:rsid w:val="00D11F16"/>
    <w:rsid w:val="00D123F7"/>
    <w:rsid w:val="00D1409F"/>
    <w:rsid w:val="00D14494"/>
    <w:rsid w:val="00D146DA"/>
    <w:rsid w:val="00D147DE"/>
    <w:rsid w:val="00D14C99"/>
    <w:rsid w:val="00D14DAB"/>
    <w:rsid w:val="00D14F8B"/>
    <w:rsid w:val="00D15639"/>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37CD"/>
    <w:rsid w:val="00D44336"/>
    <w:rsid w:val="00D44BA5"/>
    <w:rsid w:val="00D44E7F"/>
    <w:rsid w:val="00D45515"/>
    <w:rsid w:val="00D45602"/>
    <w:rsid w:val="00D456BD"/>
    <w:rsid w:val="00D4581E"/>
    <w:rsid w:val="00D47242"/>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69"/>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4C"/>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CA9"/>
    <w:rsid w:val="00DD1F42"/>
    <w:rsid w:val="00DD23B6"/>
    <w:rsid w:val="00DD34C0"/>
    <w:rsid w:val="00DD4EA3"/>
    <w:rsid w:val="00DD5193"/>
    <w:rsid w:val="00DD5970"/>
    <w:rsid w:val="00DD5B39"/>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09C9"/>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0F1D"/>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5FDD"/>
    <w:rsid w:val="00E6610F"/>
    <w:rsid w:val="00E66185"/>
    <w:rsid w:val="00E662CD"/>
    <w:rsid w:val="00E66BBE"/>
    <w:rsid w:val="00E670C0"/>
    <w:rsid w:val="00E673E4"/>
    <w:rsid w:val="00E6746C"/>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2EE"/>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83E"/>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1E22"/>
    <w:rsid w:val="00F42E4B"/>
    <w:rsid w:val="00F43BA8"/>
    <w:rsid w:val="00F4512B"/>
    <w:rsid w:val="00F46114"/>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1C9"/>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0F36"/>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25F"/>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4E7"/>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4A0F7-5938-4DE2-A822-B764B4AAEE59}"/>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Tevimbra SGM 6422-A 2024a</vt:lpstr>
    </vt:vector>
  </TitlesOfParts>
  <Company>PCS Health Systems</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Tevimbra SGM 6422-A</dc:title>
  <dc:subject/>
  <dc:creator>CVS Caremark</dc:creator>
  <cp:keywords/>
  <cp:lastModifiedBy>Huerta, Linda M</cp:lastModifiedBy>
  <cp:revision>5</cp:revision>
  <cp:lastPrinted>2018-01-09T11:01:00Z</cp:lastPrinted>
  <dcterms:created xsi:type="dcterms:W3CDTF">2025-03-14T16:32:00Z</dcterms:created>
  <dcterms:modified xsi:type="dcterms:W3CDTF">2025-03-14T16:41:00Z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1779400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